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19254F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2023/2024 у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C839E6" w:rsidRPr="002F6969" w:rsidRDefault="0019254F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Georgia" w:eastAsia="Times New Roman" w:hAnsi="Georgia" w:cs="Times New Roman"/>
          <w:sz w:val="32"/>
          <w:szCs w:val="24"/>
          <w:lang w:eastAsia="ru-RU"/>
        </w:rPr>
        <w:t>Воспитатель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Default="00C839E6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  <w:r w:rsidR="0019254F">
        <w:rPr>
          <w:rFonts w:ascii="Georgia" w:eastAsia="Times New Roman" w:hAnsi="Georgia" w:cs="Times New Roman"/>
          <w:sz w:val="24"/>
          <w:szCs w:val="20"/>
          <w:lang w:eastAsia="ru-RU"/>
        </w:rPr>
        <w:t>Рачёва Н.Г</w:t>
      </w:r>
    </w:p>
    <w:p w:rsidR="0019254F" w:rsidRDefault="0019254F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>
        <w:rPr>
          <w:rFonts w:ascii="Georgia" w:eastAsia="Times New Roman" w:hAnsi="Georgia" w:cs="Times New Roman"/>
          <w:sz w:val="24"/>
          <w:szCs w:val="20"/>
          <w:lang w:eastAsia="ru-RU"/>
        </w:rPr>
        <w:t xml:space="preserve">Помощник воспитателя: </w:t>
      </w:r>
    </w:p>
    <w:p w:rsidR="0019254F" w:rsidRDefault="0019254F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>
        <w:rPr>
          <w:rFonts w:ascii="Georgia" w:eastAsia="Times New Roman" w:hAnsi="Georgia" w:cs="Times New Roman"/>
          <w:sz w:val="24"/>
          <w:szCs w:val="20"/>
          <w:lang w:eastAsia="ru-RU"/>
        </w:rPr>
        <w:t>Осеева А.Б.</w:t>
      </w:r>
    </w:p>
    <w:p w:rsidR="0019254F" w:rsidRDefault="0019254F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:rsidR="0019254F" w:rsidRDefault="0019254F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:rsidR="0019254F" w:rsidRDefault="0019254F" w:rsidP="0019254F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:rsidR="002B26F7" w:rsidRDefault="002B26F7">
      <w:pPr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:rsidR="0019254F" w:rsidRDefault="0019254F">
      <w:pPr>
        <w:rPr>
          <w:rFonts w:ascii="Georgia" w:eastAsia="Times New Roman" w:hAnsi="Georgia" w:cs="Times New Roman"/>
          <w:sz w:val="24"/>
          <w:szCs w:val="20"/>
          <w:lang w:eastAsia="ru-RU"/>
        </w:rPr>
      </w:pPr>
    </w:p>
    <w:p w:rsidR="0019254F" w:rsidRDefault="0019254F" w:rsidP="0019254F">
      <w:pPr>
        <w:tabs>
          <w:tab w:val="left" w:pos="3300"/>
        </w:tabs>
      </w:pPr>
      <w:r>
        <w:tab/>
        <w:t xml:space="preserve">                 </w:t>
      </w:r>
      <w:bookmarkStart w:id="0" w:name="_GoBack"/>
      <w:bookmarkEnd w:id="0"/>
      <w:proofErr w:type="spellStart"/>
      <w:r>
        <w:t>Усть-Киран</w:t>
      </w:r>
      <w:proofErr w:type="spellEnd"/>
    </w:p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</w:t>
      </w:r>
      <w:proofErr w:type="gramStart"/>
      <w:r w:rsidR="00C839E6" w:rsidRPr="003A2FBC">
        <w:rPr>
          <w:sz w:val="23"/>
          <w:szCs w:val="23"/>
        </w:rPr>
        <w:t>о</w:t>
      </w:r>
      <w:proofErr w:type="spellEnd"/>
      <w:r w:rsidR="00C839E6" w:rsidRPr="003A2FBC">
        <w:rPr>
          <w:sz w:val="23"/>
          <w:szCs w:val="23"/>
        </w:rPr>
        <w:t>-</w:t>
      </w:r>
      <w:proofErr w:type="gramEnd"/>
      <w:r w:rsidR="00C839E6" w:rsidRPr="003A2FBC">
        <w:rPr>
          <w:sz w:val="23"/>
          <w:szCs w:val="23"/>
        </w:rPr>
        <w:t xml:space="preserve">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941B25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941B25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6612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6612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205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144"/>
    <w:rsid w:val="000C1171"/>
    <w:rsid w:val="001631DE"/>
    <w:rsid w:val="0019254F"/>
    <w:rsid w:val="002B26F7"/>
    <w:rsid w:val="002F6969"/>
    <w:rsid w:val="003A2FBC"/>
    <w:rsid w:val="00484ABF"/>
    <w:rsid w:val="004A625F"/>
    <w:rsid w:val="007911F2"/>
    <w:rsid w:val="00941B25"/>
    <w:rsid w:val="00AF2DF3"/>
    <w:rsid w:val="00AF5E0A"/>
    <w:rsid w:val="00C839E6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E80F-FFC9-4289-A902-60B876DB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2014-10-11T20:00:00Z</dcterms:created>
  <dcterms:modified xsi:type="dcterms:W3CDTF">2023-11-09T05:38:00Z</dcterms:modified>
</cp:coreProperties>
</file>